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rPr>
          <w:rFonts w:ascii="黑体" w:hAnsi="Times New Roman" w:eastAsia="黑体" w:cs="Times New Roman"/>
          <w:b/>
          <w:bCs/>
          <w:spacing w:val="-20"/>
          <w:sz w:val="32"/>
          <w:szCs w:val="32"/>
        </w:rPr>
      </w:pPr>
      <w:r>
        <w:rPr>
          <w:rFonts w:hint="eastAsia" w:ascii="黑体" w:hAnsi="Times New Roman" w:eastAsia="黑体" w:cs="Times New Roman"/>
          <w:sz w:val="32"/>
          <w:szCs w:val="32"/>
        </w:rPr>
        <w:t>附件</w:t>
      </w:r>
      <w:r>
        <w:rPr>
          <w:rFonts w:hint="eastAsia" w:ascii="黑体" w:hAnsi="Times New Roman" w:eastAsia="黑体" w:cs="Times New Roman"/>
          <w:sz w:val="32"/>
          <w:szCs w:val="32"/>
          <w:lang w:val="en-US" w:eastAsia="zh-CN"/>
        </w:rPr>
        <w:t>3</w:t>
      </w:r>
      <w:r>
        <w:rPr>
          <w:rFonts w:hint="eastAsia" w:ascii="黑体" w:hAnsi="Times New Roman" w:eastAsia="黑体" w:cs="Times New Roman"/>
          <w:sz w:val="32"/>
          <w:szCs w:val="32"/>
        </w:rPr>
        <w:t xml:space="preserve">  </w:t>
      </w:r>
    </w:p>
    <w:p>
      <w:pPr>
        <w:ind w:left="-359" w:leftChars="-171" w:firstLine="283" w:firstLineChars="101"/>
        <w:jc w:val="center"/>
        <w:rPr>
          <w:rFonts w:ascii="Times New Roman" w:hAnsi="Times New Roman" w:eastAsia="隶书" w:cs="Times New Roman"/>
          <w:b/>
          <w:bCs/>
          <w:spacing w:val="-20"/>
          <w:sz w:val="32"/>
          <w:szCs w:val="24"/>
        </w:rPr>
      </w:pPr>
    </w:p>
    <w:p>
      <w:pPr>
        <w:ind w:left="-359" w:leftChars="-171" w:firstLine="283" w:firstLineChars="101"/>
        <w:jc w:val="center"/>
        <w:rPr>
          <w:rFonts w:ascii="Times New Roman" w:hAnsi="Times New Roman" w:eastAsia="隶书" w:cs="Times New Roman"/>
          <w:b/>
          <w:bCs/>
          <w:spacing w:val="-20"/>
          <w:sz w:val="32"/>
          <w:szCs w:val="24"/>
        </w:rPr>
      </w:pPr>
    </w:p>
    <w:p>
      <w:pPr>
        <w:ind w:left="-359" w:leftChars="-171" w:firstLine="283"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ascii="黑体" w:hAnsi="黑体" w:eastAsia="黑体" w:cs="Times New Roman"/>
          <w:bCs/>
          <w:spacing w:val="-20"/>
          <w:sz w:val="52"/>
          <w:szCs w:val="52"/>
        </w:rPr>
      </w:pPr>
      <w:r>
        <w:rPr>
          <w:rFonts w:hint="eastAsia" w:ascii="黑体" w:hAnsi="黑体" w:eastAsia="黑体" w:cs="Times New Roman"/>
          <w:bCs/>
          <w:spacing w:val="-20"/>
          <w:sz w:val="52"/>
          <w:szCs w:val="52"/>
        </w:rPr>
        <w:t>国家级一流本科专业建设点</w:t>
      </w:r>
    </w:p>
    <w:p>
      <w:pPr>
        <w:ind w:left="-359" w:leftChars="-171" w:firstLine="525" w:firstLineChars="101"/>
        <w:jc w:val="center"/>
        <w:rPr>
          <w:rFonts w:ascii="黑体" w:hAnsi="黑体" w:eastAsia="黑体" w:cs="Times New Roman"/>
          <w:bCs/>
          <w:sz w:val="52"/>
          <w:szCs w:val="52"/>
        </w:rPr>
      </w:pPr>
      <w:r>
        <w:rPr>
          <w:rFonts w:hint="eastAsia" w:ascii="黑体" w:hAnsi="黑体" w:eastAsia="黑体" w:cs="Times New Roman"/>
          <w:bCs/>
          <w:sz w:val="52"/>
          <w:szCs w:val="52"/>
        </w:rPr>
        <w:t>信息采集表</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ind w:firstLine="1440" w:firstLineChars="400"/>
        <w:rPr>
          <w:rFonts w:ascii="Times New Roman" w:hAnsi="Times New Roman" w:eastAsia="宋体" w:cs="Times New Roman"/>
          <w:szCs w:val="24"/>
          <w:u w:val="single"/>
        </w:rPr>
      </w:pPr>
      <w:r>
        <w:rPr>
          <w:rFonts w:ascii="Times New Roman" w:hAnsi="Arial" w:eastAsia="楷体_GB2312" w:cs="Times New Roman"/>
          <w:sz w:val="36"/>
          <w:szCs w:val="24"/>
        </w:rPr>
        <w:t>高校名称：</w:t>
      </w:r>
      <w:r>
        <w:rPr>
          <w:rFonts w:hint="eastAsia" w:ascii="Times New Roman" w:hAnsi="Arial" w:eastAsia="楷体_GB2312" w:cs="Times New Roman"/>
          <w:sz w:val="36"/>
          <w:szCs w:val="24"/>
          <w:u w:val="single"/>
        </w:rPr>
        <w:t xml:space="preserve">                       </w:t>
      </w:r>
    </w:p>
    <w:p>
      <w:pPr>
        <w:spacing w:line="720" w:lineRule="exact"/>
        <w:ind w:firstLine="1440" w:firstLineChars="400"/>
        <w:rPr>
          <w:rFonts w:ascii="Times New Roman" w:hAnsi="Times New Roman" w:eastAsia="楷体_GB2312" w:cs="Times New Roman"/>
          <w:sz w:val="36"/>
          <w:szCs w:val="24"/>
          <w:u w:val="single"/>
        </w:rPr>
      </w:pPr>
      <w:r>
        <w:rPr>
          <w:rFonts w:ascii="Times New Roman" w:hAnsi="Arial" w:eastAsia="楷体_GB2312" w:cs="Times New Roman"/>
          <w:sz w:val="36"/>
          <w:szCs w:val="24"/>
        </w:rPr>
        <w:t>主管部门：</w:t>
      </w:r>
      <w:r>
        <w:rPr>
          <w:rFonts w:hint="eastAsia" w:ascii="Times New Roman" w:hAnsi="Arial" w:eastAsia="楷体_GB2312" w:cs="Times New Roman"/>
          <w:sz w:val="36"/>
          <w:szCs w:val="24"/>
          <w:u w:val="single"/>
        </w:rPr>
        <w:t xml:space="preserve">                       </w:t>
      </w:r>
    </w:p>
    <w:p>
      <w:pPr>
        <w:spacing w:line="720" w:lineRule="exact"/>
        <w:ind w:firstLine="1440" w:firstLineChars="400"/>
        <w:rPr>
          <w:rFonts w:ascii="Times New Roman" w:hAnsi="Times New Roman" w:eastAsia="楷体_GB2312" w:cs="Times New Roman"/>
          <w:sz w:val="36"/>
          <w:szCs w:val="24"/>
          <w:u w:val="single"/>
        </w:rPr>
      </w:pPr>
      <w:r>
        <w:rPr>
          <w:rFonts w:ascii="Times New Roman" w:hAnsi="Arial" w:eastAsia="楷体_GB2312" w:cs="Times New Roman"/>
          <w:sz w:val="36"/>
          <w:szCs w:val="24"/>
        </w:rPr>
        <w:t>专业名称：</w:t>
      </w:r>
      <w:r>
        <w:rPr>
          <w:rFonts w:hint="eastAsia" w:ascii="Times New Roman" w:hAnsi="Arial" w:eastAsia="楷体_GB2312" w:cs="Times New Roman"/>
          <w:sz w:val="36"/>
          <w:szCs w:val="24"/>
          <w:u w:val="single"/>
        </w:rPr>
        <w:t xml:space="preserve">                       </w:t>
      </w:r>
    </w:p>
    <w:p>
      <w:pPr>
        <w:spacing w:line="720" w:lineRule="exact"/>
        <w:ind w:firstLine="1440" w:firstLineChars="400"/>
        <w:rPr>
          <w:rFonts w:ascii="Times New Roman" w:hAnsi="Times New Roman" w:eastAsia="楷体_GB2312" w:cs="Times New Roman"/>
          <w:sz w:val="36"/>
          <w:szCs w:val="24"/>
          <w:u w:val="single"/>
        </w:rPr>
      </w:pPr>
      <w:r>
        <w:rPr>
          <w:rFonts w:ascii="Times New Roman" w:hAnsi="Arial" w:eastAsia="楷体_GB2312" w:cs="Times New Roman"/>
          <w:sz w:val="36"/>
          <w:szCs w:val="24"/>
        </w:rPr>
        <w:t>专业代码：</w:t>
      </w:r>
      <w:r>
        <w:rPr>
          <w:rFonts w:hint="eastAsia" w:ascii="Times New Roman" w:hAnsi="Arial" w:eastAsia="楷体_GB2312" w:cs="Times New Roman"/>
          <w:sz w:val="36"/>
          <w:szCs w:val="24"/>
          <w:u w:val="single"/>
        </w:rPr>
        <w:t xml:space="preserve">                       </w:t>
      </w:r>
    </w:p>
    <w:p>
      <w:pPr>
        <w:spacing w:line="720" w:lineRule="exact"/>
        <w:ind w:firstLine="1439" w:firstLineChars="371"/>
        <w:rPr>
          <w:rFonts w:ascii="Times New Roman" w:hAnsi="Times New Roman" w:eastAsia="楷体_GB2312" w:cs="Times New Roman"/>
          <w:spacing w:val="14"/>
          <w:sz w:val="36"/>
          <w:szCs w:val="24"/>
          <w:u w:val="single"/>
        </w:rPr>
      </w:pPr>
      <w:r>
        <w:rPr>
          <w:rFonts w:ascii="Times New Roman" w:hAnsi="Arial" w:eastAsia="楷体_GB2312" w:cs="Times New Roman"/>
          <w:spacing w:val="14"/>
          <w:sz w:val="36"/>
          <w:szCs w:val="24"/>
        </w:rPr>
        <w:t>专业类：</w:t>
      </w:r>
      <w:r>
        <w:rPr>
          <w:rFonts w:hint="eastAsia" w:ascii="Times New Roman" w:hAnsi="Arial" w:eastAsia="楷体_GB2312" w:cs="Times New Roman"/>
          <w:spacing w:val="14"/>
          <w:sz w:val="36"/>
          <w:szCs w:val="24"/>
          <w:u w:val="single"/>
        </w:rPr>
        <w:t xml:space="preserve">                     </w:t>
      </w:r>
    </w:p>
    <w:p>
      <w:pPr>
        <w:spacing w:line="720" w:lineRule="exact"/>
        <w:ind w:firstLine="1440" w:firstLineChars="400"/>
        <w:rPr>
          <w:rFonts w:ascii="Times New Roman" w:hAnsi="Times New Roman" w:eastAsia="楷体_GB2312" w:cs="Times New Roman"/>
          <w:sz w:val="36"/>
          <w:szCs w:val="24"/>
          <w:u w:val="single"/>
        </w:rPr>
      </w:pPr>
      <w:r>
        <w:rPr>
          <w:rFonts w:ascii="Times New Roman" w:hAnsi="Arial" w:eastAsia="楷体_GB2312" w:cs="Times New Roman"/>
          <w:sz w:val="36"/>
          <w:szCs w:val="24"/>
        </w:rPr>
        <w:t>专业负责人：</w:t>
      </w:r>
      <w:r>
        <w:rPr>
          <w:rFonts w:hint="eastAsia" w:ascii="Times New Roman" w:hAnsi="Arial" w:eastAsia="楷体_GB2312" w:cs="Times New Roman"/>
          <w:sz w:val="36"/>
          <w:szCs w:val="24"/>
          <w:u w:val="single"/>
        </w:rPr>
        <w:t xml:space="preserve">                     </w:t>
      </w:r>
    </w:p>
    <w:p>
      <w:pPr>
        <w:spacing w:line="720" w:lineRule="exact"/>
        <w:ind w:firstLine="1440" w:firstLineChars="400"/>
        <w:rPr>
          <w:rFonts w:ascii="Times New Roman" w:hAnsi="Times New Roman" w:eastAsia="楷体_GB2312" w:cs="Times New Roman"/>
          <w:sz w:val="36"/>
          <w:szCs w:val="24"/>
          <w:u w:val="single"/>
        </w:rPr>
      </w:pPr>
      <w:r>
        <w:rPr>
          <w:rFonts w:ascii="Times New Roman" w:hAnsi="Arial" w:eastAsia="楷体_GB2312" w:cs="Times New Roman"/>
          <w:sz w:val="36"/>
          <w:szCs w:val="24"/>
        </w:rPr>
        <w:t>联系电话：</w:t>
      </w:r>
      <w:r>
        <w:rPr>
          <w:rFonts w:hint="eastAsia" w:ascii="Times New Roman" w:hAnsi="Arial" w:eastAsia="楷体_GB2312" w:cs="Times New Roman"/>
          <w:sz w:val="36"/>
          <w:szCs w:val="24"/>
          <w:u w:val="single"/>
        </w:rPr>
        <w:t xml:space="preserve">                       </w:t>
      </w:r>
    </w:p>
    <w:p>
      <w:pPr>
        <w:spacing w:line="720" w:lineRule="exact"/>
        <w:ind w:firstLine="1760" w:firstLineChars="400"/>
        <w:rPr>
          <w:rFonts w:ascii="Arial" w:hAnsi="Arial" w:eastAsia="楷体_GB2312" w:cs="Times New Roman"/>
          <w:sz w:val="44"/>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hint="eastAsia" w:ascii="Arial" w:hAnsi="Arial" w:eastAsia="楷体_GB2312" w:cs="Times New Roman"/>
          <w:sz w:val="36"/>
          <w:szCs w:val="24"/>
        </w:rPr>
        <w:t>教育部高等教育司制</w:t>
      </w:r>
    </w:p>
    <w:p>
      <w:pPr>
        <w:jc w:val="center"/>
        <w:rPr>
          <w:rFonts w:hint="eastAsia" w:ascii="黑体" w:hAnsi="Arial" w:eastAsia="黑体" w:cs="Times New Roman"/>
          <w:bCs/>
          <w:spacing w:val="100"/>
          <w:sz w:val="36"/>
          <w:szCs w:val="36"/>
        </w:rPr>
        <w:sectPr>
          <w:footerReference r:id="rId3" w:type="default"/>
          <w:pgSz w:w="11906" w:h="16838"/>
          <w:pgMar w:top="1440" w:right="1800" w:bottom="1440" w:left="1800" w:header="851" w:footer="992" w:gutter="0"/>
          <w:cols w:space="425" w:num="1"/>
          <w:docGrid w:type="lines" w:linePitch="312" w:charSpace="0"/>
        </w:sectPr>
      </w:pPr>
    </w:p>
    <w:p>
      <w:pPr>
        <w:jc w:val="center"/>
        <w:rPr>
          <w:rFonts w:ascii="黑体" w:hAnsi="Arial" w:eastAsia="黑体" w:cs="Times New Roman"/>
          <w:bCs/>
          <w:spacing w:val="100"/>
          <w:sz w:val="36"/>
          <w:szCs w:val="36"/>
        </w:rPr>
      </w:pPr>
      <w:r>
        <w:rPr>
          <w:rFonts w:hint="eastAsia" w:ascii="黑体" w:hAnsi="Arial" w:eastAsia="黑体" w:cs="Times New Roman"/>
          <w:bCs/>
          <w:spacing w:val="100"/>
          <w:sz w:val="36"/>
          <w:szCs w:val="36"/>
        </w:rPr>
        <w:t>填表说明</w:t>
      </w:r>
    </w:p>
    <w:p>
      <w:pPr>
        <w:jc w:val="center"/>
        <w:rPr>
          <w:rFonts w:ascii="仿宋_GB2312" w:hAnsi="Arial" w:eastAsia="仿宋_GB2312" w:cs="Times New Roman"/>
          <w:spacing w:val="100"/>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1.采集表填写内容必须实事求是，表达准确严谨。填报内容不得有空缺项，如无内容应填“无”。</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2.采集表须在</w:t>
      </w:r>
      <w:r>
        <w:rPr>
          <w:rFonts w:ascii="仿宋" w:hAnsi="仿宋" w:eastAsia="仿宋" w:cs="Times New Roman"/>
          <w:sz w:val="32"/>
          <w:szCs w:val="32"/>
        </w:rPr>
        <w:t>线填写</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3.专业</w:t>
      </w:r>
      <w:r>
        <w:rPr>
          <w:rFonts w:ascii="仿宋" w:hAnsi="仿宋" w:eastAsia="仿宋" w:cs="Times New Roman"/>
          <w:sz w:val="32"/>
          <w:szCs w:val="32"/>
        </w:rPr>
        <w:t>人才培养方案作为附件在申报系统</w:t>
      </w:r>
      <w:r>
        <w:rPr>
          <w:rFonts w:hint="eastAsia" w:ascii="仿宋" w:hAnsi="仿宋" w:eastAsia="仿宋" w:cs="Times New Roman"/>
          <w:sz w:val="32"/>
          <w:szCs w:val="32"/>
        </w:rPr>
        <w:t>内</w:t>
      </w:r>
      <w:r>
        <w:rPr>
          <w:rFonts w:ascii="仿宋" w:hAnsi="仿宋" w:eastAsia="仿宋" w:cs="Times New Roman"/>
          <w:sz w:val="32"/>
          <w:szCs w:val="32"/>
        </w:rPr>
        <w:t>提交。</w:t>
      </w:r>
    </w:p>
    <w:p>
      <w:pPr>
        <w:ind w:firstLine="640" w:firstLineChars="200"/>
        <w:rPr>
          <w:rFonts w:ascii="仿宋" w:hAnsi="仿宋" w:eastAsia="仿宋" w:cs="Times New Roman"/>
          <w:sz w:val="32"/>
          <w:szCs w:val="32"/>
        </w:rPr>
      </w:pPr>
      <w:r>
        <w:rPr>
          <w:rFonts w:ascii="仿宋" w:hAnsi="仿宋" w:eastAsia="仿宋" w:cs="Times New Roman"/>
          <w:sz w:val="32"/>
          <w:szCs w:val="32"/>
        </w:rPr>
        <w:t>4.报送</w:t>
      </w:r>
      <w:r>
        <w:rPr>
          <w:rFonts w:hint="eastAsia" w:ascii="仿宋" w:hAnsi="仿宋" w:eastAsia="仿宋" w:cs="Times New Roman"/>
          <w:sz w:val="32"/>
          <w:szCs w:val="32"/>
        </w:rPr>
        <w:t>单位</w:t>
      </w:r>
      <w:r>
        <w:rPr>
          <w:rFonts w:ascii="仿宋" w:hAnsi="仿宋" w:eastAsia="仿宋" w:cs="Times New Roman"/>
          <w:sz w:val="32"/>
          <w:szCs w:val="32"/>
        </w:rPr>
        <w:t>在线</w:t>
      </w:r>
      <w:r>
        <w:rPr>
          <w:rFonts w:hint="eastAsia" w:ascii="仿宋" w:hAnsi="仿宋" w:eastAsia="仿宋" w:cs="Times New Roman"/>
          <w:sz w:val="32"/>
          <w:szCs w:val="32"/>
        </w:rPr>
        <w:t>填报</w:t>
      </w:r>
      <w:r>
        <w:rPr>
          <w:rFonts w:ascii="仿宋" w:hAnsi="仿宋" w:eastAsia="仿宋" w:cs="Times New Roman"/>
          <w:sz w:val="32"/>
          <w:szCs w:val="32"/>
        </w:rPr>
        <w:t>结束后</w:t>
      </w:r>
      <w:r>
        <w:rPr>
          <w:rFonts w:hint="eastAsia" w:ascii="仿宋" w:hAnsi="仿宋" w:eastAsia="仿宋" w:cs="Times New Roman"/>
          <w:sz w:val="32"/>
          <w:szCs w:val="32"/>
        </w:rPr>
        <w:t>，</w:t>
      </w:r>
      <w:r>
        <w:rPr>
          <w:rFonts w:ascii="仿宋" w:hAnsi="仿宋" w:eastAsia="仿宋" w:cs="Times New Roman"/>
          <w:sz w:val="32"/>
          <w:szCs w:val="32"/>
        </w:rPr>
        <w:t>导出</w:t>
      </w:r>
      <w:r>
        <w:rPr>
          <w:rFonts w:hint="eastAsia" w:ascii="仿宋" w:hAnsi="仿宋" w:eastAsia="仿宋" w:cs="Times New Roman"/>
          <w:sz w:val="32"/>
          <w:szCs w:val="32"/>
        </w:rPr>
        <w:t>《国</w:t>
      </w:r>
      <w:r>
        <w:rPr>
          <w:rFonts w:ascii="仿宋" w:hAnsi="仿宋" w:eastAsia="仿宋" w:cs="Times New Roman"/>
          <w:sz w:val="32"/>
          <w:szCs w:val="32"/>
        </w:rPr>
        <w:t>家级</w:t>
      </w:r>
      <w:r>
        <w:rPr>
          <w:rFonts w:hint="eastAsia" w:ascii="仿宋" w:hAnsi="仿宋" w:eastAsia="仿宋" w:cs="Times New Roman"/>
          <w:sz w:val="32"/>
          <w:szCs w:val="32"/>
        </w:rPr>
        <w:t>一</w:t>
      </w:r>
      <w:r>
        <w:rPr>
          <w:rFonts w:ascii="仿宋" w:hAnsi="仿宋" w:eastAsia="仿宋" w:cs="Times New Roman"/>
          <w:sz w:val="32"/>
          <w:szCs w:val="32"/>
        </w:rPr>
        <w:t>流本科专业建设点</w:t>
      </w:r>
      <w:r>
        <w:rPr>
          <w:rFonts w:hint="eastAsia" w:ascii="仿宋" w:hAnsi="仿宋" w:eastAsia="仿宋" w:cs="Times New Roman"/>
          <w:sz w:val="32"/>
          <w:szCs w:val="32"/>
        </w:rPr>
        <w:t>信息</w:t>
      </w:r>
      <w:r>
        <w:rPr>
          <w:rFonts w:ascii="仿宋" w:hAnsi="仿宋" w:eastAsia="仿宋" w:cs="Times New Roman"/>
          <w:sz w:val="32"/>
          <w:szCs w:val="32"/>
        </w:rPr>
        <w:t>汇总表》</w:t>
      </w:r>
      <w:r>
        <w:rPr>
          <w:rFonts w:hint="eastAsia" w:ascii="仿宋" w:hAnsi="仿宋" w:eastAsia="仿宋" w:cs="Times New Roman"/>
          <w:sz w:val="32"/>
          <w:szCs w:val="32"/>
        </w:rPr>
        <w:t>，按</w:t>
      </w:r>
      <w:r>
        <w:rPr>
          <w:rFonts w:ascii="仿宋" w:hAnsi="仿宋" w:eastAsia="仿宋" w:cs="Times New Roman"/>
          <w:sz w:val="32"/>
          <w:szCs w:val="32"/>
        </w:rPr>
        <w:t>要求加</w:t>
      </w:r>
      <w:r>
        <w:rPr>
          <w:rFonts w:hint="eastAsia" w:ascii="仿宋" w:hAnsi="仿宋" w:eastAsia="仿宋" w:cs="Times New Roman"/>
          <w:sz w:val="32"/>
          <w:szCs w:val="32"/>
        </w:rPr>
        <w:t>盖</w:t>
      </w:r>
      <w:r>
        <w:rPr>
          <w:rFonts w:ascii="仿宋" w:hAnsi="仿宋" w:eastAsia="仿宋" w:cs="Times New Roman"/>
          <w:sz w:val="32"/>
          <w:szCs w:val="32"/>
        </w:rPr>
        <w:t>公章后，于报送截止日前寄</w:t>
      </w:r>
      <w:r>
        <w:rPr>
          <w:rFonts w:hint="eastAsia" w:ascii="仿宋" w:hAnsi="仿宋" w:eastAsia="仿宋" w:cs="Times New Roman"/>
          <w:sz w:val="32"/>
          <w:szCs w:val="32"/>
        </w:rPr>
        <w:t>至</w:t>
      </w:r>
      <w:r>
        <w:rPr>
          <w:rFonts w:ascii="仿宋" w:hAnsi="仿宋" w:eastAsia="仿宋" w:cs="Times New Roman"/>
          <w:sz w:val="32"/>
          <w:szCs w:val="32"/>
        </w:rPr>
        <w:t>教育部</w:t>
      </w:r>
      <w:r>
        <w:rPr>
          <w:rFonts w:hint="eastAsia" w:ascii="仿宋" w:hAnsi="仿宋" w:eastAsia="仿宋" w:cs="Times New Roman"/>
          <w:sz w:val="32"/>
          <w:szCs w:val="32"/>
        </w:rPr>
        <w:t>高等</w:t>
      </w:r>
      <w:r>
        <w:rPr>
          <w:rFonts w:ascii="仿宋" w:hAnsi="仿宋" w:eastAsia="仿宋" w:cs="Times New Roman"/>
          <w:sz w:val="32"/>
          <w:szCs w:val="32"/>
        </w:rPr>
        <w:t>教育司</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spacing w:line="440" w:lineRule="exact"/>
        <w:jc w:val="center"/>
        <w:rPr>
          <w:rFonts w:ascii="黑体" w:hAnsi="Times New Roman" w:eastAsia="黑体" w:cs="Times New Roman"/>
          <w:bCs/>
          <w:sz w:val="36"/>
          <w:szCs w:val="36"/>
        </w:rPr>
        <w:sectPr>
          <w:footerReference r:id="rId4" w:type="default"/>
          <w:pgSz w:w="11906" w:h="16838"/>
          <w:pgMar w:top="1440" w:right="1800" w:bottom="1440" w:left="1800" w:header="851" w:footer="992" w:gutter="0"/>
          <w:pgNumType w:start="1"/>
          <w:cols w:space="425" w:num="1"/>
          <w:docGrid w:type="lines" w:linePitch="312" w:charSpace="0"/>
        </w:sectPr>
      </w:pPr>
    </w:p>
    <w:p>
      <w:pPr>
        <w:spacing w:line="440" w:lineRule="exact"/>
        <w:jc w:val="center"/>
        <w:rPr>
          <w:rFonts w:ascii="黑体" w:hAnsi="Times New Roman" w:eastAsia="黑体" w:cs="Times New Roman"/>
          <w:bCs/>
          <w:sz w:val="36"/>
          <w:szCs w:val="36"/>
        </w:rPr>
      </w:pPr>
    </w:p>
    <w:p>
      <w:pPr>
        <w:spacing w:line="440" w:lineRule="exact"/>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目    录</w:t>
      </w:r>
    </w:p>
    <w:p>
      <w:pPr>
        <w:spacing w:line="360" w:lineRule="auto"/>
        <w:rPr>
          <w:rFonts w:ascii="仿宋_GB2312" w:hAnsi="Times New Roman" w:eastAsia="仿宋_GB2312" w:cs="Times New Roman"/>
          <w:sz w:val="32"/>
          <w:szCs w:val="24"/>
        </w:rPr>
      </w:pP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一</w:t>
      </w:r>
      <w:r>
        <w:rPr>
          <w:rFonts w:hint="eastAsia" w:ascii="仿宋_GB2312" w:hAnsi="仿宋" w:eastAsia="仿宋_GB2312" w:cs="Times New Roman"/>
          <w:sz w:val="32"/>
          <w:szCs w:val="32"/>
        </w:rPr>
        <w:t>、所在</w:t>
      </w:r>
      <w:r>
        <w:rPr>
          <w:rFonts w:ascii="仿宋_GB2312" w:hAnsi="仿宋" w:eastAsia="仿宋_GB2312" w:cs="Times New Roman"/>
          <w:sz w:val="32"/>
          <w:szCs w:val="32"/>
        </w:rPr>
        <w:t>高校基本情况</w:t>
      </w: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二</w:t>
      </w:r>
      <w:r>
        <w:rPr>
          <w:rFonts w:hint="eastAsia" w:ascii="仿宋_GB2312" w:hAnsi="仿宋" w:eastAsia="仿宋_GB2312" w:cs="Times New Roman"/>
          <w:sz w:val="32"/>
          <w:szCs w:val="32"/>
        </w:rPr>
        <w:t>、</w:t>
      </w:r>
      <w:r>
        <w:rPr>
          <w:rFonts w:ascii="仿宋_GB2312" w:hAnsi="仿宋" w:eastAsia="仿宋_GB2312" w:cs="Times New Roman"/>
          <w:sz w:val="32"/>
          <w:szCs w:val="32"/>
        </w:rPr>
        <w:t>报送专业情况</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1.专业基本情况</w:t>
      </w:r>
    </w:p>
    <w:p>
      <w:pPr>
        <w:spacing w:line="360" w:lineRule="auto"/>
        <w:ind w:firstLine="640" w:firstLineChars="200"/>
        <w:rPr>
          <w:rFonts w:ascii="仿宋_GB2312" w:hAnsi="仿宋" w:eastAsia="仿宋_GB2312" w:cs="Times New Roman"/>
          <w:bCs/>
          <w:spacing w:val="20"/>
          <w:sz w:val="32"/>
          <w:szCs w:val="32"/>
        </w:rPr>
      </w:pPr>
      <w:r>
        <w:rPr>
          <w:rFonts w:hint="eastAsia" w:ascii="仿宋_GB2312" w:hAnsi="仿宋" w:eastAsia="仿宋_GB2312" w:cs="Times New Roman"/>
          <w:sz w:val="32"/>
          <w:szCs w:val="32"/>
        </w:rPr>
        <w:t>2</w:t>
      </w:r>
      <w:r>
        <w:rPr>
          <w:rFonts w:hint="eastAsia" w:ascii="仿宋_GB2312" w:hAnsi="仿宋" w:eastAsia="仿宋_GB2312" w:cs="Times New Roman"/>
          <w:bCs/>
          <w:sz w:val="32"/>
          <w:szCs w:val="32"/>
        </w:rPr>
        <w:t>.专业负责人基本情况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3.近3年本专业毕业生就业（升学）情况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4.近3年本专业获省部级及以上奖励和支持情况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5.专业定位、历史沿革和特色优势</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6.深化专业综合改革的主要措施和成效</w:t>
      </w:r>
    </w:p>
    <w:p>
      <w:pPr>
        <w:spacing w:line="360" w:lineRule="auto"/>
        <w:ind w:firstLine="640" w:firstLineChars="200"/>
        <w:rPr>
          <w:rFonts w:ascii="仿宋_GB2312" w:hAnsi="仿宋" w:eastAsia="仿宋_GB2312" w:cs="Times New Roman"/>
          <w:bCs/>
          <w:kern w:val="0"/>
          <w:sz w:val="32"/>
          <w:szCs w:val="32"/>
        </w:rPr>
      </w:pPr>
      <w:r>
        <w:rPr>
          <w:rFonts w:hint="eastAsia" w:ascii="仿宋_GB2312" w:hAnsi="仿宋" w:eastAsia="仿宋_GB2312" w:cs="Times New Roman"/>
          <w:bCs/>
          <w:kern w:val="0"/>
          <w:sz w:val="32"/>
          <w:szCs w:val="32"/>
        </w:rPr>
        <w:t>7.加强师资队伍和基层教学组织建设的主要举措</w:t>
      </w:r>
      <w:r>
        <w:rPr>
          <w:rFonts w:ascii="仿宋_GB2312" w:hAnsi="仿宋" w:eastAsia="仿宋_GB2312" w:cs="Times New Roman"/>
          <w:bCs/>
          <w:kern w:val="0"/>
          <w:sz w:val="32"/>
          <w:szCs w:val="32"/>
        </w:rPr>
        <w:t>及</w:t>
      </w:r>
      <w:r>
        <w:rPr>
          <w:rFonts w:hint="eastAsia" w:ascii="仿宋_GB2312" w:hAnsi="仿宋" w:eastAsia="仿宋_GB2312" w:cs="Times New Roman"/>
          <w:bCs/>
          <w:kern w:val="0"/>
          <w:sz w:val="32"/>
          <w:szCs w:val="32"/>
        </w:rPr>
        <w:t>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kern w:val="0"/>
          <w:sz w:val="32"/>
          <w:szCs w:val="32"/>
        </w:rPr>
        <w:t>8.加强专业教学质量保障体系建设的主要举措和成效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9.毕业生培养质量的跟踪调查结果和外部评价</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三、下一步推进专业建设和改革的主要思路及举措</w:t>
      </w:r>
    </w:p>
    <w:p>
      <w:pPr>
        <w:rPr>
          <w:rFonts w:hint="eastAsia" w:ascii="仿宋_GB2312" w:hAnsi="黑体" w:eastAsia="仿宋_GB2312" w:cs="Times New Roman"/>
          <w:bCs/>
          <w:sz w:val="36"/>
          <w:szCs w:val="36"/>
        </w:rPr>
      </w:pPr>
    </w:p>
    <w:p>
      <w:pPr>
        <w:bidi w:val="0"/>
        <w:rPr>
          <w:rFonts w:hint="eastAsia" w:ascii="仿宋_GB2312" w:hAnsi="黑体" w:eastAsia="仿宋_GB2312" w:cs="Times New Roman"/>
          <w:bCs/>
          <w:sz w:val="36"/>
          <w:szCs w:val="36"/>
        </w:rPr>
      </w:pPr>
      <w:bookmarkStart w:id="1" w:name="_GoBack"/>
      <w:bookmarkEnd w:id="1"/>
    </w:p>
    <w:p>
      <w:pPr>
        <w:bidi w:val="0"/>
        <w:rPr>
          <w:rFonts w:hint="eastAsia" w:ascii="仿宋_GB2312" w:hAnsi="黑体" w:eastAsia="仿宋_GB2312" w:cs="Times New Roman"/>
          <w:bCs/>
          <w:sz w:val="36"/>
          <w:szCs w:val="36"/>
        </w:rPr>
      </w:pPr>
    </w:p>
    <w:p>
      <w:pPr>
        <w:bidi w:val="0"/>
        <w:rPr>
          <w:rFonts w:hint="eastAsia" w:ascii="仿宋_GB2312" w:hAnsi="黑体" w:eastAsia="仿宋_GB2312" w:cs="Times New Roman"/>
          <w:bCs/>
          <w:sz w:val="36"/>
          <w:szCs w:val="36"/>
        </w:rPr>
      </w:pPr>
    </w:p>
    <w:p>
      <w:pPr>
        <w:bidi w:val="0"/>
        <w:rPr>
          <w:rFonts w:hint="eastAsia" w:ascii="仿宋_GB2312" w:hAnsi="黑体" w:eastAsia="仿宋_GB2312" w:cs="Times New Roman"/>
          <w:bCs/>
          <w:sz w:val="36"/>
          <w:szCs w:val="36"/>
        </w:rPr>
      </w:pPr>
    </w:p>
    <w:p>
      <w:pPr>
        <w:bidi w:val="0"/>
        <w:jc w:val="left"/>
        <w:rPr>
          <w:rFonts w:ascii="黑体" w:hAnsi="黑体" w:eastAsia="黑体" w:cs="Times New Roman"/>
          <w:sz w:val="32"/>
          <w:szCs w:val="32"/>
        </w:rPr>
      </w:pPr>
      <w:r>
        <w:rPr>
          <w:rFonts w:hint="eastAsia" w:ascii="仿宋_GB2312" w:hAnsi="黑体" w:eastAsia="仿宋_GB2312" w:cs="Times New Roman"/>
          <w:bCs/>
          <w:sz w:val="36"/>
          <w:szCs w:val="36"/>
        </w:rPr>
        <w:br w:type="page"/>
      </w:r>
      <w:r>
        <w:rPr>
          <w:rFonts w:hint="eastAsia" w:ascii="黑体" w:hAnsi="黑体" w:eastAsia="黑体" w:cs="Times New Roman"/>
          <w:sz w:val="32"/>
          <w:szCs w:val="32"/>
        </w:rPr>
        <w:t>一、所在高校基本情况</w:t>
      </w:r>
    </w:p>
    <w:tbl>
      <w:tblPr>
        <w:tblStyle w:val="4"/>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gridCol w:w="708"/>
        <w:gridCol w:w="423"/>
        <w:gridCol w:w="3604"/>
        <w:gridCol w:w="375"/>
        <w:gridCol w:w="11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学校名称</w:t>
            </w:r>
          </w:p>
        </w:tc>
        <w:tc>
          <w:tcPr>
            <w:tcW w:w="1131" w:type="dxa"/>
            <w:gridSpan w:val="2"/>
            <w:vAlign w:val="center"/>
          </w:tcPr>
          <w:p>
            <w:pPr>
              <w:spacing w:line="360" w:lineRule="auto"/>
              <w:jc w:val="center"/>
              <w:rPr>
                <w:rFonts w:ascii="Times New Roman" w:hAnsi="Times New Roman" w:eastAsia="仿宋_GB2312" w:cs="Times New Roman"/>
                <w:sz w:val="24"/>
                <w:szCs w:val="24"/>
              </w:rPr>
            </w:pPr>
          </w:p>
        </w:tc>
        <w:tc>
          <w:tcPr>
            <w:tcW w:w="3604"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学校代码</w:t>
            </w:r>
          </w:p>
        </w:tc>
        <w:tc>
          <w:tcPr>
            <w:tcW w:w="1651" w:type="dxa"/>
            <w:gridSpan w:val="3"/>
            <w:vAlign w:val="center"/>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restart"/>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学校办学</w:t>
            </w:r>
          </w:p>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基本类型</w:t>
            </w: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□部委院校  □地方院校 □</w:t>
            </w:r>
            <w:r>
              <w:rPr>
                <w:rFonts w:hint="eastAsia" w:ascii="Times New Roman" w:hAnsi="Times New Roman" w:eastAsia="仿宋_GB2312" w:cs="Times New Roman"/>
                <w:sz w:val="24"/>
                <w:szCs w:val="24"/>
              </w:rPr>
              <w:t>部省</w:t>
            </w:r>
            <w:r>
              <w:rPr>
                <w:rFonts w:ascii="Times New Roman" w:hAnsi="Times New Roman" w:eastAsia="仿宋_GB2312" w:cs="Times New Roman"/>
                <w:sz w:val="24"/>
                <w:szCs w:val="24"/>
              </w:rPr>
              <w:t>合建高校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continue"/>
          </w:tcPr>
          <w:p>
            <w:pPr>
              <w:spacing w:line="360" w:lineRule="auto"/>
              <w:rPr>
                <w:rFonts w:ascii="Times New Roman" w:hAnsi="Times New Roman" w:eastAsia="仿宋_GB2312" w:cs="Times New Roman"/>
                <w:sz w:val="24"/>
                <w:szCs w:val="24"/>
              </w:rPr>
            </w:pP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□公办  □民办  □中外合作办学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在校本科生总数</w:t>
            </w:r>
          </w:p>
        </w:tc>
        <w:tc>
          <w:tcPr>
            <w:tcW w:w="1131" w:type="dxa"/>
            <w:gridSpan w:val="2"/>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近3</w:t>
            </w:r>
            <w:r>
              <w:rPr>
                <w:rFonts w:ascii="Times New Roman" w:hAnsi="Times New Roman" w:eastAsia="仿宋_GB2312" w:cs="Times New Roman"/>
                <w:sz w:val="24"/>
                <w:szCs w:val="24"/>
              </w:rPr>
              <w:t>年年均本科招生数</w:t>
            </w:r>
          </w:p>
        </w:tc>
        <w:tc>
          <w:tcPr>
            <w:tcW w:w="1161" w:type="dxa"/>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专任教师总数</w:t>
            </w:r>
          </w:p>
        </w:tc>
        <w:tc>
          <w:tcPr>
            <w:tcW w:w="1131" w:type="dxa"/>
            <w:gridSpan w:val="2"/>
            <w:vAlign w:val="center"/>
          </w:tcPr>
          <w:p>
            <w:pPr>
              <w:spacing w:line="320" w:lineRule="exact"/>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专任教师中副教授及以上职称比例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生师比</w:t>
            </w:r>
          </w:p>
        </w:tc>
        <w:tc>
          <w:tcPr>
            <w:tcW w:w="1131" w:type="dxa"/>
            <w:gridSpan w:val="2"/>
            <w:vAlign w:val="center"/>
          </w:tcPr>
          <w:p>
            <w:pPr>
              <w:spacing w:line="320" w:lineRule="exact"/>
              <w:jc w:val="center"/>
              <w:rPr>
                <w:rFonts w:ascii="Times New Roman" w:hAnsi="Times New Roman" w:eastAsia="仿宋_GB2312" w:cs="Times New Roman"/>
                <w:sz w:val="24"/>
                <w:szCs w:val="24"/>
              </w:rPr>
            </w:pP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具有硕博士学位教师占专任教师比例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1" w:hRule="atLeast"/>
        </w:trPr>
        <w:tc>
          <w:tcPr>
            <w:tcW w:w="1973" w:type="dxa"/>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推进高水平本科建设整体情况</w:t>
            </w:r>
          </w:p>
        </w:tc>
        <w:tc>
          <w:tcPr>
            <w:tcW w:w="6386" w:type="dxa"/>
            <w:gridSpan w:val="6"/>
          </w:tcPr>
          <w:p>
            <w:pPr>
              <w:spacing w:line="360" w:lineRule="auto"/>
              <w:jc w:val="left"/>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落实</w:t>
            </w:r>
            <w:r>
              <w:rPr>
                <w:rFonts w:hint="eastAsia" w:ascii="仿宋" w:hAnsi="仿宋" w:eastAsia="仿宋" w:cs="Times New Roman"/>
                <w:sz w:val="24"/>
                <w:szCs w:val="24"/>
              </w:rPr>
              <w:t>“以本为本、四个回归”、推进“四新”建设、完善协同育人和实践教学机制、</w:t>
            </w:r>
            <w:r>
              <w:rPr>
                <w:rFonts w:ascii="仿宋" w:hAnsi="仿宋" w:eastAsia="仿宋" w:cs="Times New Roman"/>
                <w:sz w:val="24"/>
                <w:szCs w:val="24"/>
              </w:rPr>
              <w:t>培育以人才培养为中心的</w:t>
            </w:r>
            <w:r>
              <w:rPr>
                <w:rFonts w:hint="eastAsia" w:ascii="仿宋" w:hAnsi="仿宋" w:eastAsia="仿宋" w:cs="Times New Roman"/>
                <w:sz w:val="24"/>
                <w:szCs w:val="24"/>
              </w:rPr>
              <w:t>质量文化等</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1200字以内</w:t>
            </w:r>
            <w:r>
              <w:rPr>
                <w:rFonts w:hint="eastAsia" w:ascii="仿宋" w:hAnsi="仿宋" w:eastAsia="仿宋" w:cs="Times New Roman"/>
                <w:sz w:val="24"/>
                <w:szCs w:val="24"/>
              </w:rPr>
              <w:t>）</w:t>
            </w:r>
          </w:p>
          <w:p>
            <w:pPr>
              <w:spacing w:line="360" w:lineRule="auto"/>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1973" w:type="dxa"/>
            <w:vMerge w:val="restart"/>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学校关于本科</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人才培养的重要</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政策文件</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w:t>
            </w:r>
            <w:r>
              <w:rPr>
                <w:rFonts w:ascii="Times New Roman" w:hAnsi="Times New Roman" w:eastAsia="仿宋_GB2312" w:cs="Times New Roman"/>
                <w:sz w:val="24"/>
                <w:szCs w:val="24"/>
              </w:rPr>
              <w:t>10项</w:t>
            </w:r>
            <w:r>
              <w:rPr>
                <w:rFonts w:hint="eastAsia" w:ascii="Times New Roman" w:hAnsi="Times New Roman" w:eastAsia="仿宋_GB2312" w:cs="Times New Roman"/>
                <w:sz w:val="24"/>
                <w:szCs w:val="24"/>
              </w:rPr>
              <w:t>）</w:t>
            </w: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4402" w:type="dxa"/>
            <w:gridSpan w:val="3"/>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文件名称</w:t>
            </w:r>
          </w:p>
        </w:tc>
        <w:tc>
          <w:tcPr>
            <w:tcW w:w="1276" w:type="dxa"/>
            <w:gridSpan w:val="2"/>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印发时间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仿宋_GB2312" w:hAnsi="Times New Roman" w:eastAsia="仿宋_GB2312" w:cs="Times New Roman"/>
                <w:szCs w:val="24"/>
              </w:rPr>
              <w:t>…</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bl>
    <w:p>
      <w:pPr>
        <w:rPr>
          <w:rFonts w:ascii="黑体" w:hAnsi="黑体" w:eastAsia="黑体" w:cs="Times New Roman"/>
          <w:bCs/>
          <w:sz w:val="32"/>
          <w:szCs w:val="32"/>
        </w:rPr>
      </w:pPr>
      <w:r>
        <w:rPr>
          <w:rFonts w:ascii="黑体" w:hAnsi="黑体" w:eastAsia="黑体" w:cs="Times New Roman"/>
          <w:sz w:val="36"/>
          <w:szCs w:val="36"/>
        </w:rPr>
        <w:br w:type="page"/>
      </w:r>
      <w:r>
        <w:rPr>
          <w:rFonts w:hint="eastAsia" w:ascii="黑体" w:hAnsi="黑体" w:eastAsia="黑体" w:cs="Times New Roman"/>
          <w:sz w:val="32"/>
          <w:szCs w:val="32"/>
        </w:rPr>
        <w:t>二、</w:t>
      </w:r>
      <w:r>
        <w:rPr>
          <w:rFonts w:hint="eastAsia" w:ascii="黑体" w:hAnsi="黑体" w:eastAsia="黑体" w:cs="Times New Roman"/>
          <w:bCs/>
          <w:sz w:val="32"/>
          <w:szCs w:val="32"/>
        </w:rPr>
        <w:t>报送专业情况</w:t>
      </w:r>
    </w:p>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4"/>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cs="Times New Roman"/>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：以上数据填报口径为2</w:t>
      </w:r>
      <w:r>
        <w:rPr>
          <w:rFonts w:ascii="仿宋" w:hAnsi="仿宋" w:eastAsia="仿宋" w:cs="Times New Roman"/>
          <w:sz w:val="24"/>
          <w:szCs w:val="24"/>
        </w:rPr>
        <w:t>018</w:t>
      </w:r>
      <w:r>
        <w:rPr>
          <w:rFonts w:hint="eastAsia" w:ascii="仿宋" w:hAnsi="仿宋" w:eastAsia="仿宋" w:cs="Times New Roman"/>
          <w:sz w:val="24"/>
          <w:szCs w:val="24"/>
        </w:rPr>
        <w:t>-</w:t>
      </w:r>
      <w:r>
        <w:rPr>
          <w:rFonts w:ascii="仿宋" w:hAnsi="仿宋" w:eastAsia="仿宋" w:cs="Times New Roman"/>
          <w:sz w:val="24"/>
          <w:szCs w:val="24"/>
        </w:rPr>
        <w:t>2019学年数据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4"/>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595"/>
        <w:gridCol w:w="1311"/>
        <w:gridCol w:w="727"/>
        <w:gridCol w:w="1747"/>
        <w:gridCol w:w="727"/>
        <w:gridCol w:w="80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restar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595" w:type="dxa"/>
            <w:vMerge w:val="restart"/>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专业技术职务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continue"/>
            <w:vAlign w:val="center"/>
          </w:tcPr>
          <w:p>
            <w:pPr>
              <w:jc w:val="center"/>
              <w:rPr>
                <w:rFonts w:ascii="Times New Roman" w:hAnsi="Times New Roman" w:eastAsia="仿宋_GB2312" w:cs="Times New Roman"/>
                <w:sz w:val="24"/>
                <w:szCs w:val="24"/>
              </w:rPr>
            </w:pPr>
          </w:p>
        </w:tc>
        <w:tc>
          <w:tcPr>
            <w:tcW w:w="1595" w:type="dxa"/>
            <w:vMerge w:val="continue"/>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行政职务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73" w:hRule="atLeast"/>
          <w:jc w:val="center"/>
        </w:trPr>
        <w:tc>
          <w:tcPr>
            <w:tcW w:w="2328" w:type="dxa"/>
            <w:gridSpan w:val="2"/>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6122" w:type="dxa"/>
            <w:gridSpan w:val="6"/>
            <w:vAlign w:val="center"/>
          </w:tcPr>
          <w:p>
            <w:pPr>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9"/>
        <w:gridCol w:w="1583"/>
        <w:gridCol w:w="1583"/>
        <w:gridCol w:w="13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1621"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2018年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2017年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2016年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bl>
    <w:p>
      <w:pPr>
        <w:jc w:val="left"/>
        <w:rPr>
          <w:rFonts w:ascii="Times New Roman" w:hAnsi="Times New Roman" w:eastAsia="宋体" w:cs="Times New Roman"/>
          <w:szCs w:val="24"/>
        </w:rPr>
      </w:pPr>
      <w:r>
        <w:rPr>
          <w:rFonts w:ascii="楷体" w:hAnsi="楷体" w:eastAsia="楷体" w:cs="宋体"/>
          <w:b/>
          <w:kern w:val="0"/>
          <w:sz w:val="32"/>
          <w:szCs w:val="32"/>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0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72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850"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78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127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教学名师与</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课程与教材</w:t>
            </w: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实验和实践</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教学平台</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教学改革项目</w:t>
            </w: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（限5</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项）</w:t>
            </w: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1000字以内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tc>
      </w:tr>
      <w:bookmarkEnd w:id="0"/>
    </w:tbl>
    <w:p>
      <w:pPr>
        <w:spacing w:line="20" w:lineRule="exact"/>
        <w:rPr>
          <w:rFonts w:ascii="仿宋_GB2312" w:hAnsi="Calibri" w:eastAsia="仿宋_GB2312" w:cs="经典平黑简"/>
          <w:sz w:val="10"/>
          <w:szCs w:val="10"/>
        </w:rPr>
      </w:pPr>
    </w:p>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sdt>
      <w:sdtPr>
        <w:id w:val="-322282558"/>
        <w:docPartObj>
          <w:docPartGallery w:val="autotext"/>
        </w:docPartObj>
      </w:sdtPr>
      <w:sdtContent/>
    </w:sdt>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FFE"/>
    <w:rsid w:val="00054053"/>
    <w:rsid w:val="0021538B"/>
    <w:rsid w:val="00237CBC"/>
    <w:rsid w:val="00270B2B"/>
    <w:rsid w:val="005D2D1B"/>
    <w:rsid w:val="005F4052"/>
    <w:rsid w:val="008B5869"/>
    <w:rsid w:val="00960FFE"/>
    <w:rsid w:val="00C74B4B"/>
    <w:rsid w:val="00EA0124"/>
    <w:rsid w:val="00F03CA6"/>
    <w:rsid w:val="16840539"/>
    <w:rsid w:val="67123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uiPriority w:val="99"/>
    <w:rPr>
      <w:sz w:val="18"/>
      <w:szCs w:val="18"/>
    </w:rPr>
  </w:style>
  <w:style w:type="character" w:customStyle="1" w:styleId="7">
    <w:name w:val="页眉 Char"/>
    <w:basedOn w:val="5"/>
    <w:link w:val="3"/>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Pages>
  <Words>483</Words>
  <Characters>2756</Characters>
  <Lines>22</Lines>
  <Paragraphs>6</Paragraphs>
  <TotalTime>0</TotalTime>
  <ScaleCrop>false</ScaleCrop>
  <LinksUpToDate>false</LinksUpToDate>
  <CharactersWithSpaces>3233</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2019-04-03T08:58:00Z</dcterms:created>
  <dc:creator>jyb</dc:creator>
  <cp:lastModifiedBy>Administrator</cp:lastModifiedBy>
  <dcterms:modified xsi:type="dcterms:W3CDTF">2019-05-06T01:21:25Z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